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72" w:rsidRPr="007E1B72" w:rsidRDefault="007E1B72" w:rsidP="007E1B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7E1B72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Виды, сроки и объем технических осмотров, освидетельствований и ремонта колесных пар</w:t>
      </w:r>
    </w:p>
    <w:p w:rsidR="007E1B72" w:rsidRPr="007E1B72" w:rsidRDefault="007E1B72" w:rsidP="007E1B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Колесные пары во время своей эксплуатации, помимо осмотров под ЭПС должны подвергаться обыкновенному и полному освидетельствованию.</w:t>
      </w:r>
    </w:p>
    <w:p w:rsidR="007E1B72" w:rsidRPr="007E1B72" w:rsidRDefault="007E1B72" w:rsidP="007E1B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Осмотр колесных пар под ТПС должны проводить:</w:t>
      </w:r>
    </w:p>
    <w:p w:rsidR="007E1B72" w:rsidRPr="007E1B72" w:rsidRDefault="007E1B72" w:rsidP="007E1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машинист — при каждой приемке ТПС, в эксплуатации при стоянках локомотивов на станциях и в пунктах оборота;</w:t>
      </w:r>
    </w:p>
    <w:p w:rsidR="007E1B72" w:rsidRPr="007E1B72" w:rsidRDefault="007E1B72" w:rsidP="007E1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мастер — при техническом обслуживании ТО-3 ТПС;</w:t>
      </w:r>
    </w:p>
    <w:p w:rsidR="007E1B72" w:rsidRPr="007E1B72" w:rsidRDefault="007E1B72" w:rsidP="007E1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мастер или бригадир — при техническом обслуживании ТО-2;</w:t>
      </w:r>
    </w:p>
    <w:p w:rsidR="007E1B72" w:rsidRPr="007E1B72" w:rsidRDefault="007E1B72" w:rsidP="007E1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мастер или приемщик локомотивов — при техническом обслуживании ТО-4, ТО-5, текущих ремонтах ТР-1 и ТР-2, а также при первой подкатке новых колесных пар.</w:t>
      </w:r>
    </w:p>
    <w:p w:rsidR="007E1B72" w:rsidRPr="007E1B72" w:rsidRDefault="007E1B72" w:rsidP="007E1B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 осмотре колесных пар проверяют:</w:t>
      </w:r>
    </w:p>
    <w:p w:rsidR="007E1B72" w:rsidRPr="007E1B72" w:rsidRDefault="007E1B72" w:rsidP="007E1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• на бандажах отсутствие трещин, ползунов (выбоин), раковин, предельного проката или износа, плен, </w:t>
      </w:r>
      <w:proofErr w:type="spellStart"/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раздавленности</w:t>
      </w:r>
      <w:proofErr w:type="spellEnd"/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, вмятин, отколов, ослабления бандажей на ободе центра (</w:t>
      </w:r>
      <w:proofErr w:type="spellStart"/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остукиванием</w:t>
      </w:r>
      <w:proofErr w:type="spellEnd"/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молотком), сдвига бандажа (по контрольным меткам на бандаже), </w:t>
      </w:r>
      <w:proofErr w:type="spellStart"/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выщербин</w:t>
      </w:r>
      <w:proofErr w:type="spellEnd"/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, вертикального подреза гребня (проверяют шаблонами УТ-1 и ДО-1) и остроконечного наката, являющегося признаком возможности опасной формы гребня.</w:t>
      </w:r>
    </w:p>
    <w:p w:rsidR="007E1B72" w:rsidRPr="007E1B72" w:rsidRDefault="007E1B72" w:rsidP="007E1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на колесных центрах отсутствие трещин, признаков ослабления или сдвига ступиц на оси;</w:t>
      </w:r>
    </w:p>
    <w:p w:rsidR="007E1B72" w:rsidRPr="007E1B72" w:rsidRDefault="007E1B72" w:rsidP="007E1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• на открытых частях осей отсутствие трещин, потертых мест, </w:t>
      </w:r>
      <w:proofErr w:type="spellStart"/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электроожога</w:t>
      </w:r>
      <w:proofErr w:type="spellEnd"/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и других дефектов.</w:t>
      </w:r>
    </w:p>
    <w:p w:rsidR="007E1B72" w:rsidRPr="007E1B72" w:rsidRDefault="007E1B72" w:rsidP="007E1B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Обыкновенное освидетельствование колесных пар проводится во всех случаях подкатки их под ЭПС в депо.</w:t>
      </w:r>
    </w:p>
    <w:p w:rsidR="007E1B72" w:rsidRPr="007E1B72" w:rsidRDefault="007E1B72" w:rsidP="007E1B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 обыкновенном освидетельствовании колесных пар должны выполняться все проверки, предусмотренные осмотром колесных пар ЭПС. Дополнительно производится:</w:t>
      </w:r>
    </w:p>
    <w:p w:rsidR="007E1B72" w:rsidRPr="007E1B72" w:rsidRDefault="007E1B72" w:rsidP="007E1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очистка от грязи и масел или обмывка в моечной машине;</w:t>
      </w:r>
    </w:p>
    <w:p w:rsidR="007E1B72" w:rsidRPr="007E1B72" w:rsidRDefault="007E1B72" w:rsidP="007E1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проверка установленных клейм и знаков;</w:t>
      </w:r>
    </w:p>
    <w:p w:rsidR="007E1B72" w:rsidRPr="007E1B72" w:rsidRDefault="007E1B72" w:rsidP="007E1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проверка магнитным дефектоскопом открытых частей осей и зубьев зубчатых колес;</w:t>
      </w:r>
    </w:p>
    <w:p w:rsidR="007E1B72" w:rsidRPr="007E1B72" w:rsidRDefault="007E1B72" w:rsidP="007E1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проверка соответствия размеров всех элементов колесной пары установленным нормам допусков и износов;</w:t>
      </w:r>
    </w:p>
    <w:p w:rsidR="007E1B72" w:rsidRPr="007E1B72" w:rsidRDefault="007E1B72" w:rsidP="007E1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проверка ультразвуковым дефектоскопом удлиненных спиц колесных центров;</w:t>
      </w:r>
    </w:p>
    <w:p w:rsidR="007E1B72" w:rsidRPr="007E1B72" w:rsidRDefault="007E1B72" w:rsidP="007E1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окраска открытых мест оси.</w:t>
      </w:r>
    </w:p>
    <w:p w:rsidR="007E1B72" w:rsidRPr="007E1B72" w:rsidRDefault="007E1B72" w:rsidP="007E1B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Полное освидетельствование колесных пар производится:</w:t>
      </w:r>
    </w:p>
    <w:p w:rsidR="007E1B72" w:rsidRPr="007E1B72" w:rsidRDefault="007E1B72" w:rsidP="007E1B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при ремонтах на заводах и в депо, выполняющих ремонт колесных пар ЭПС со сменой хотя бы одного элемента;</w:t>
      </w:r>
    </w:p>
    <w:p w:rsidR="007E1B72" w:rsidRPr="007E1B72" w:rsidRDefault="007E1B72" w:rsidP="007E1B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lastRenderedPageBreak/>
        <w:t>— при неясности клейм и знаков последнего полного освидетельствования;</w:t>
      </w:r>
    </w:p>
    <w:p w:rsidR="007E1B72" w:rsidRPr="007E1B72" w:rsidRDefault="007E1B72" w:rsidP="007E1B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при наличии повреждений колесной пары после крушения, аварии, столкновения или схода с рельсов, а также любых видимых повреждений, выявленных при внешнем осмотре, кроме отклонений, выявленных на профиле бандажа, которые могут быть устранены обточкой.</w:t>
      </w:r>
    </w:p>
    <w:p w:rsidR="007E1B72" w:rsidRPr="007E1B72" w:rsidRDefault="007E1B72" w:rsidP="007E1B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 полном освидетельствовании колесных пар должны проводиться все работы, предусмотренные для обыкновенного освидетельствования и дополнительно:</w:t>
      </w:r>
    </w:p>
    <w:p w:rsidR="007E1B72" w:rsidRPr="007E1B72" w:rsidRDefault="007E1B72" w:rsidP="007E1B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замена забракованных элементов;</w:t>
      </w:r>
    </w:p>
    <w:p w:rsidR="007E1B72" w:rsidRPr="007E1B72" w:rsidRDefault="007E1B72" w:rsidP="007E1B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очистка колесной пары от краски;</w:t>
      </w:r>
    </w:p>
    <w:p w:rsidR="007E1B72" w:rsidRPr="007E1B72" w:rsidRDefault="007E1B72" w:rsidP="007E1B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• проверка ультразвуковым дефектоскопом </w:t>
      </w:r>
      <w:proofErr w:type="spellStart"/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подступичной</w:t>
      </w:r>
      <w:proofErr w:type="spellEnd"/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части осей колесных пар;</w:t>
      </w:r>
    </w:p>
    <w:p w:rsidR="007E1B72" w:rsidRPr="007E1B72" w:rsidRDefault="007E1B72" w:rsidP="007E1B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проверка ультразвуковым дефектоскопом удлиненных ступиц колесных центров;</w:t>
      </w:r>
    </w:p>
    <w:p w:rsidR="007E1B72" w:rsidRPr="007E1B72" w:rsidRDefault="007E1B72" w:rsidP="007E1B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7E1B7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• постановка на левом торце оси клейм и знаков полного освидетельствования колесных пар.</w:t>
      </w:r>
    </w:p>
    <w:p w:rsidR="007B102E" w:rsidRDefault="007E1B72">
      <w:bookmarkStart w:id="0" w:name="_GoBack"/>
      <w:bookmarkEnd w:id="0"/>
    </w:p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391"/>
    <w:multiLevelType w:val="multilevel"/>
    <w:tmpl w:val="041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C2057"/>
    <w:multiLevelType w:val="multilevel"/>
    <w:tmpl w:val="E19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90595"/>
    <w:multiLevelType w:val="multilevel"/>
    <w:tmpl w:val="BFB8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82215"/>
    <w:multiLevelType w:val="multilevel"/>
    <w:tmpl w:val="8EA6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A0D1B"/>
    <w:multiLevelType w:val="multilevel"/>
    <w:tmpl w:val="0250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74DBB"/>
    <w:multiLevelType w:val="multilevel"/>
    <w:tmpl w:val="A844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1A"/>
    <w:rsid w:val="004568E2"/>
    <w:rsid w:val="007E1B72"/>
    <w:rsid w:val="007F081A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2022-11-29T17:40:00Z</dcterms:created>
  <dcterms:modified xsi:type="dcterms:W3CDTF">2022-11-29T17:40:00Z</dcterms:modified>
</cp:coreProperties>
</file>