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</w:rPr>
        <w:t>Теория электролитической диссоциации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Электролитами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называются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вещества, растворы которых обладают электрической проводимостью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 К электролитам относятся растворы кислот, солей и щелочей. Соли и щелочи проводят электрический ток не только в растворах, но и в расплавах.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Неэлектролитами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называются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вещества, растворы которых не обладают электрической проводимостью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 К неэлектролитам относятся многие органические вещества, сухие соли и основания, дистиллированная вода.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Теория электролитической диссоциации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В 1887 г. шведский ученый Сванте Аррениус выдвинул теорию электролитической диссоциации.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Электролитической диссоциацией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называется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процесс распада электролита на сольватированные ионы под действием молекул растворителя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 Теория Аррениуса заключалась в следующем:</w:t>
      </w:r>
    </w:p>
    <w:p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1. При растворении в воде (или расплавлении) электролиты распадаются на положительно (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катионы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 и отрицательно (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анионы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 заряженные ионы (т.е. подвергаются электролитической диссоциации).</w:t>
      </w:r>
    </w:p>
    <w:p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2. Под действием электрического тока катионы двигаются к отрицательно заряженному электроду (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катоду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), а анионы – к положительно заряженному электроду (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аноду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).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3. Электролитическая диссоциация – процесс обратимый (обратная реакция называется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моляризацией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).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Механизм электролитической диссоциации ионных веществ</w:t>
      </w:r>
    </w:p>
    <w:p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При растворении соединений с ионными связями (например, NaCl) процесс гидратации начинается с ориентации диполей воды вокруг всех выступов и граней кристаллов соли. Ориентируясь вокруг ионов кристаллической решетки, молекулы воды образуют с ними либо водородные, либо донорно-акцепторные связи. При этом процессе выделяется большое количество энергии, которая называется энергией гидратации. Энергия гидратации, величина которой сравнима с энергией кристаллической решетки, идет на разрушение кристаллической решетки. При этом гидратированные ионы слой за слоем переходят в растворитель и, перемешиваясь с его молекулами, образуют раствор.</w:t>
      </w:r>
    </w:p>
    <w:p>
      <w:pPr>
        <w:pStyle w:val="6"/>
        <w:keepNext w:val="0"/>
        <w:keepLines w:val="0"/>
        <w:widowControl/>
        <w:suppressLineNumbers w:val="0"/>
        <w:ind w:left="0" w:firstLine="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Механизм электролитической диссоциации полярных веществ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Аналогично диссоциируют и вещества, молекулы которых образованы по типу полярной ковалентной связи (полярные молекулы). Вокруг каждой полярной молекулы вещества (например, HCl), определенным образом ориентируются диполи воды. В результате взаимодействия с диполями воды полярная молекула еще больше поляризуется и превращается в ионную, далее уже легко образуются свободные гидратированные ионы.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Процесс электролитической диссоциации принято записывать в виде схемы, не раскрывая его механизма и опуская растворитель (H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O), хотя он является основным участником: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CaCl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= Ca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2+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+ 2Clˉ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HNO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= 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+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+ NO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ˉ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Ba(OH)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= Ba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perscript"/>
        </w:rPr>
        <w:t>2+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+ 2OHˉ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Из электронейтральности молекул следует вывод, что суммарный заряд катионов и анионов должен быть равен нулю. Например, Al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(SO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: 2·(+3) + 3·(-2) = +6 – 6 = 0.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Количественной характеристикой процесса диссоциации электролита является степень диссоциации.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Степень электролитической диссоциации (α)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зависит от природы электролита и растворителя, температуры и концентрации.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Она показывает отношение числа молекул, распавшихся на ионы (n) к общему числу молекул, введенных в раствор (N)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и выражается в долях единицы или в %: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466725" cy="361950"/>
            <wp:effectExtent l="0" t="0" r="9525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Object60"/>
      <w:bookmarkEnd w:id="0"/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0&lt;α&lt;1 (или 0&lt;α&lt;100%)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По величине степени диссоциации все электролиты делятся на сильные и слабые.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Сильные электролиты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– это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вещества, которые при растворении в воде практически полностью распадаются на ионы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. Как правило, к сильным электролитам относятся вещества с ионными или сильно полярными связями: все хорошо растворимые соли, сильные кислоты (HCl, HBr, HI, HClO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SO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HMnO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HNO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 и сильные основания (LiOH, NaOH, KOH, RbOH, CsOH, Ba(OH)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Sr(OH)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Ca(OH)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). В растворе сильного электролита растворённое вещество находится в основном в виде ионов (катионов и анионов); недиссоциированные молекулы практически отсутствуют. Степень диссоциации сильных электролитов α&gt;30%.</w:t>
      </w:r>
    </w:p>
    <w:p>
      <w:pPr>
        <w:pStyle w:val="6"/>
        <w:keepNext w:val="0"/>
        <w:keepLines w:val="0"/>
        <w:widowControl/>
        <w:suppressLineNumbers w:val="0"/>
        <w:ind w:lef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Слабые электролиты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 –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это </w:t>
      </w:r>
      <w:r>
        <w:rPr>
          <w:rFonts w:hint="default" w:ascii="Arial" w:hAnsi="Arial" w:cs="Arial"/>
          <w:i/>
          <w:iCs/>
          <w:caps w:val="0"/>
          <w:color w:val="000000"/>
          <w:spacing w:val="0"/>
          <w:sz w:val="24"/>
          <w:szCs w:val="24"/>
        </w:rPr>
        <w:t>вещества, частично диссоциирующие на ионы.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 Растворы слабых электролитов наряду с ионами содержат недиссоциированные молекулы. Степень диссоциации α&lt;3%. К слабым электролитам относятся почти все органические кислоты (CH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COOH, C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5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COOH и др.); некоторые неорганические кислоты (H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CO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SO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SiO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HCN, HNO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PO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, HF, 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S и др.); почти все малорастворимые в воде соли, основания и гидроксид аммония (Ca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(PO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)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; Cu(OH)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2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; Al(OH)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3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; NH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vertAlign w:val="subscript"/>
        </w:rPr>
        <w:t>4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  <w:t>OH); вода. Они плохо (или почти не проводят) электрический ток.</w:t>
      </w:r>
    </w:p>
    <w:p>
      <w:bookmarkStart w:id="1" w:name="_GoBack"/>
      <w:bookmarkEnd w:id="1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E5CE4"/>
    <w:rsid w:val="773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2023-12-12T08:08:00Z</dcterms:created>
  <dc:creator>Михаил Сергееви�</dc:creator>
  <cp:lastModifiedBy>Михаил Сергееви�</cp:lastModifiedBy>
  <dcterms:modified xsi:type="dcterms:W3CDTF">2023-12-12T08:08:47Z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99AB7A2F4D124379B4DE5513948B751B_11</vt:lpwstr>
  </property>
</Properties>
</file>